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73183F">
        <w:rPr>
          <w:rFonts w:ascii="Times New Roman" w:hAnsi="Times New Roman" w:cs="Times New Roman"/>
          <w:b/>
          <w:sz w:val="20"/>
        </w:rPr>
        <w:t>193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>Dz.U. z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12.11.2020r.</w:t>
      </w:r>
      <w:r w:rsidR="00EE08DA">
        <w:rPr>
          <w:rFonts w:ascii="Times New Roman" w:hAnsi="Times New Roman" w:cs="Times New Roman"/>
          <w:sz w:val="20"/>
        </w:rPr>
        <w:t>, poz. 1990</w:t>
      </w:r>
      <w:r w:rsidRPr="00B810AB">
        <w:rPr>
          <w:rFonts w:ascii="Times New Roman" w:hAnsi="Times New Roman" w:cs="Times New Roman"/>
          <w:sz w:val="20"/>
        </w:rPr>
        <w:t>) przeznacza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1"/>
        <w:gridCol w:w="1772"/>
        <w:gridCol w:w="1511"/>
        <w:gridCol w:w="4394"/>
        <w:gridCol w:w="3544"/>
        <w:gridCol w:w="3882"/>
      </w:tblGrid>
      <w:tr w:rsidR="004E54E4" w:rsidRPr="00B810AB" w:rsidTr="00C37C95">
        <w:trPr>
          <w:trHeight w:val="813"/>
        </w:trPr>
        <w:tc>
          <w:tcPr>
            <w:tcW w:w="164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67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48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1407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Przeznaczenie nieruchomości w miejscowym planie zagospodarowania i sposób jej zagospodarowania</w:t>
            </w:r>
          </w:p>
        </w:tc>
        <w:tc>
          <w:tcPr>
            <w:tcW w:w="1135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970FBA" w:rsidRPr="00B810AB" w:rsidTr="00C37C95">
        <w:trPr>
          <w:trHeight w:val="1248"/>
        </w:trPr>
        <w:tc>
          <w:tcPr>
            <w:tcW w:w="164" w:type="pct"/>
          </w:tcPr>
          <w:p w:rsidR="00970FBA" w:rsidRPr="002A5B38" w:rsidRDefault="00970FBA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" w:type="pct"/>
          </w:tcPr>
          <w:p w:rsidR="00970FBA" w:rsidRDefault="00970FBA" w:rsidP="00EE08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577E1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84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212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1577E1">
              <w:rPr>
                <w:rFonts w:ascii="Times" w:hAnsi="Times" w:cs="Times New Roman"/>
                <w:sz w:val="20"/>
              </w:rPr>
              <w:t>²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2D7EC3">
              <w:rPr>
                <w:rFonts w:ascii="Times New Roman" w:hAnsi="Times New Roman" w:cs="Times New Roman"/>
                <w:b/>
                <w:sz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tab/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970FBA" w:rsidRPr="002D7EC3" w:rsidRDefault="00970FBA" w:rsidP="00B31AC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D7EC3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00010258/1</w:t>
            </w:r>
          </w:p>
        </w:tc>
        <w:tc>
          <w:tcPr>
            <w:tcW w:w="484" w:type="pct"/>
            <w:vMerge w:val="restart"/>
          </w:tcPr>
          <w:p w:rsidR="00970FBA" w:rsidRPr="00B810AB" w:rsidRDefault="00970FBA" w:rsidP="00B31A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</w:rPr>
              <w:t>Lutycka</w:t>
            </w:r>
          </w:p>
        </w:tc>
        <w:tc>
          <w:tcPr>
            <w:tcW w:w="1407" w:type="pct"/>
            <w:vMerge w:val="restart"/>
          </w:tcPr>
          <w:p w:rsidR="00970FBA" w:rsidRPr="00B31ACE" w:rsidRDefault="00970FBA" w:rsidP="00B31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Pr="00B31ACE">
              <w:rPr>
                <w:rFonts w:ascii="Times New Roman" w:hAnsi="Times New Roman" w:cs="Times New Roman"/>
                <w:b/>
                <w:bCs/>
                <w:color w:val="000000"/>
              </w:rPr>
              <w:t>SM.II.D.08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    lokalizacja istniejących parterowych garaży oraz parterowych obiektów warsztatowych i usługowych dopuszczalna, bez prawa rozbudowy, do czasu zabudowy i zagospodarowania terenu zgodnie z ustaleniami planu, na części terenu oznaczonej symbolem II.D.08/1 i II.D.08/2 dopuszcza się lokalizację usług motoryzacyjnych o uciążliwości ograniczonej do granic działki, bez wymogu lokalizacji funkcji mieszkaniowej, w obszarze określonym nieprzekraczalną linią zabudowy dopuszczalna przebudowa i rozbudowa istniejących obiektów.</w:t>
            </w:r>
          </w:p>
        </w:tc>
        <w:tc>
          <w:tcPr>
            <w:tcW w:w="1135" w:type="pct"/>
          </w:tcPr>
          <w:p w:rsidR="00970FBA" w:rsidRPr="00B31ACE" w:rsidRDefault="00970FBA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obr.0010 z przeznaczeniem na garaże o pow. użytkowej </w:t>
            </w:r>
            <w:r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>44 m²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wraz z przy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ległym terenem o pow.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F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80m²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plac parkingowy, </w:t>
            </w:r>
            <w:r w:rsidRPr="00970FBA">
              <w:rPr>
                <w:rFonts w:ascii="Times New Roman" w:hAnsi="Times New Roman" w:cs="Times New Roman"/>
                <w:b/>
                <w:sz w:val="20"/>
                <w:szCs w:val="20"/>
              </w:rPr>
              <w:t>5,50m²</w:t>
            </w:r>
            <w:r w:rsidR="00FE5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teren </w:t>
            </w:r>
            <w:r w:rsidR="00C37C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nieruchomości.</w:t>
            </w:r>
          </w:p>
          <w:p w:rsidR="00970FBA" w:rsidRDefault="00970FB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70FBA" w:rsidRPr="00B810AB" w:rsidRDefault="00970FB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3" w:type="pct"/>
            <w:vMerge w:val="restart"/>
          </w:tcPr>
          <w:p w:rsidR="00996ADB" w:rsidRDefault="00970FBA" w:rsidP="00996A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2EBE">
              <w:rPr>
                <w:rFonts w:ascii="Times New Roman" w:hAnsi="Times New Roman" w:cs="Times New Roman"/>
                <w:b/>
                <w:sz w:val="20"/>
              </w:rPr>
              <w:t>5 zł</w:t>
            </w:r>
            <w:r>
              <w:rPr>
                <w:rFonts w:ascii="Times New Roman" w:hAnsi="Times New Roman" w:cs="Times New Roman"/>
                <w:sz w:val="20"/>
              </w:rPr>
              <w:t xml:space="preserve"> netto za 1</w:t>
            </w:r>
            <w:r w:rsidR="009F17CC">
              <w:rPr>
                <w:rFonts w:ascii="Times New Roman" w:hAnsi="Times New Roman" w:cs="Times New Roman"/>
                <w:sz w:val="20"/>
              </w:rPr>
              <w:t xml:space="preserve"> m² miesięcznie gruntu za garaż wybudowany</w:t>
            </w:r>
            <w:r>
              <w:rPr>
                <w:rFonts w:ascii="Times New Roman" w:hAnsi="Times New Roman" w:cs="Times New Roman"/>
                <w:sz w:val="20"/>
              </w:rPr>
              <w:t xml:space="preserve"> z własnych środków Dzierżawcy.</w:t>
            </w:r>
            <w:r w:rsidR="00996ADB" w:rsidRPr="00970FBA">
              <w:rPr>
                <w:rFonts w:ascii="Times New Roman" w:hAnsi="Times New Roman" w:cs="Times New Roman"/>
                <w:sz w:val="20"/>
              </w:rPr>
              <w:t xml:space="preserve"> + podatek VAT w stawce obowiązującej</w:t>
            </w:r>
            <w:r w:rsidR="00996ADB">
              <w:rPr>
                <w:rFonts w:ascii="Times New Roman" w:hAnsi="Times New Roman" w:cs="Times New Roman"/>
                <w:sz w:val="24"/>
              </w:rPr>
              <w:t>.</w:t>
            </w:r>
          </w:p>
          <w:p w:rsidR="00970FBA" w:rsidRPr="00996ADB" w:rsidRDefault="00970FBA" w:rsidP="00996AD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70FBA" w:rsidRPr="00996ADB" w:rsidRDefault="00970FBA" w:rsidP="00996A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7A2EBE">
              <w:rPr>
                <w:rFonts w:ascii="Times New Roman" w:hAnsi="Times New Roman" w:cs="Times New Roman"/>
                <w:b/>
                <w:sz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</w:rPr>
              <w:t xml:space="preserve"> netto za 1 m² gruntu miesięcznie za parking na potrzeby własne.</w:t>
            </w:r>
            <w:r w:rsidR="00996ADB" w:rsidRPr="00970FBA">
              <w:rPr>
                <w:rFonts w:ascii="Times New Roman" w:hAnsi="Times New Roman" w:cs="Times New Roman"/>
                <w:sz w:val="20"/>
              </w:rPr>
              <w:t xml:space="preserve"> + podatek VAT w stawce obowiązującej</w:t>
            </w:r>
            <w:r w:rsidR="00996ADB">
              <w:rPr>
                <w:rFonts w:ascii="Times New Roman" w:hAnsi="Times New Roman" w:cs="Times New Roman"/>
                <w:sz w:val="24"/>
              </w:rPr>
              <w:t>.</w:t>
            </w:r>
          </w:p>
          <w:p w:rsidR="00970FBA" w:rsidRPr="00970FBA" w:rsidRDefault="00970FBA" w:rsidP="00970FB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ADB" w:rsidRDefault="00996ADB" w:rsidP="00996AD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70FBA" w:rsidRPr="007A2EBE" w:rsidRDefault="00970FBA" w:rsidP="007A2EB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96ADB" w:rsidRDefault="00970FBA" w:rsidP="00996A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 </w:t>
            </w:r>
            <w:r w:rsidRPr="007A2EBE">
              <w:rPr>
                <w:rFonts w:ascii="Times New Roman" w:hAnsi="Times New Roman" w:cs="Times New Roman"/>
                <w:b/>
                <w:sz w:val="20"/>
              </w:rPr>
              <w:t>zł</w:t>
            </w:r>
            <w:r>
              <w:rPr>
                <w:rFonts w:ascii="Times New Roman" w:hAnsi="Times New Roman" w:cs="Times New Roman"/>
                <w:sz w:val="20"/>
              </w:rPr>
              <w:t xml:space="preserve"> netto za 1 m² gruntu do </w:t>
            </w:r>
            <w:r>
              <w:rPr>
                <w:rFonts w:ascii="Times New Roman" w:hAnsi="Times New Roman" w:cs="Times New Roman"/>
                <w:sz w:val="20"/>
              </w:rPr>
              <w:br/>
              <w:t>100 m² rocznie na polepszenie</w:t>
            </w:r>
            <w:r w:rsidR="00C37C95">
              <w:rPr>
                <w:rFonts w:ascii="Times New Roman" w:hAnsi="Times New Roman" w:cs="Times New Roman"/>
                <w:sz w:val="20"/>
              </w:rPr>
              <w:t xml:space="preserve"> zagospodarowania nieruchomości </w:t>
            </w:r>
            <w:r w:rsidR="00996ADB" w:rsidRPr="00970FBA">
              <w:rPr>
                <w:rFonts w:ascii="Times New Roman" w:hAnsi="Times New Roman" w:cs="Times New Roman"/>
                <w:sz w:val="20"/>
              </w:rPr>
              <w:t>+ podatek VAT w stawce obowiązującej</w:t>
            </w:r>
            <w:r w:rsidR="00996ADB">
              <w:rPr>
                <w:rFonts w:ascii="Times New Roman" w:hAnsi="Times New Roman" w:cs="Times New Roman"/>
                <w:sz w:val="24"/>
              </w:rPr>
              <w:t>.</w:t>
            </w:r>
          </w:p>
          <w:p w:rsidR="00970FBA" w:rsidRPr="00996ADB" w:rsidRDefault="00970FBA" w:rsidP="00996ADB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70FBA" w:rsidRDefault="00996ADB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Czynsz płatny rocznie </w:t>
            </w:r>
            <w:r w:rsidR="00970FBA" w:rsidRPr="00B810AB">
              <w:rPr>
                <w:rFonts w:ascii="Times New Roman" w:hAnsi="Times New Roman" w:cs="Times New Roman"/>
                <w:sz w:val="20"/>
              </w:rPr>
              <w:t xml:space="preserve">do </w:t>
            </w:r>
            <w:r>
              <w:rPr>
                <w:rFonts w:ascii="Times New Roman" w:hAnsi="Times New Roman" w:cs="Times New Roman"/>
                <w:sz w:val="20"/>
              </w:rPr>
              <w:t>31</w:t>
            </w:r>
            <w:r w:rsidR="00970FBA" w:rsidRPr="00B810A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marca każdego roku.</w:t>
            </w:r>
            <w:r w:rsidR="00970FB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70FBA" w:rsidRDefault="00970FBA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br/>
              <w:t>Waloryzacja czynszu na podstawie obowiązującego Zarządzenia Prezydenta Miasta Świnoujście.</w:t>
            </w:r>
          </w:p>
          <w:p w:rsidR="00C37C95" w:rsidRPr="00B810AB" w:rsidRDefault="00C37C95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0FBA" w:rsidRPr="00B810AB" w:rsidTr="00C37C95">
        <w:trPr>
          <w:trHeight w:val="1248"/>
        </w:trPr>
        <w:tc>
          <w:tcPr>
            <w:tcW w:w="164" w:type="pct"/>
          </w:tcPr>
          <w:p w:rsidR="00970FBA" w:rsidRPr="002A5B38" w:rsidRDefault="00970FBA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pct"/>
          </w:tcPr>
          <w:p w:rsidR="00970FBA" w:rsidRDefault="00970FBA" w:rsidP="00970F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577E1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87/2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1577E1">
              <w:rPr>
                <w:rFonts w:ascii="Times" w:hAnsi="Times" w:cs="Times New Roman"/>
                <w:sz w:val="20"/>
              </w:rPr>
              <w:t>²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2D7EC3">
              <w:rPr>
                <w:rFonts w:ascii="Times New Roman" w:hAnsi="Times New Roman" w:cs="Times New Roman"/>
                <w:b/>
                <w:sz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tab/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970FBA" w:rsidRPr="001577E1" w:rsidRDefault="00970FBA" w:rsidP="00970F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D7EC3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00023823/7</w:t>
            </w:r>
          </w:p>
        </w:tc>
        <w:tc>
          <w:tcPr>
            <w:tcW w:w="484" w:type="pct"/>
            <w:vMerge/>
          </w:tcPr>
          <w:p w:rsidR="00970FBA" w:rsidRPr="00B810AB" w:rsidRDefault="00970FBA" w:rsidP="00B31A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7" w:type="pct"/>
            <w:vMerge/>
          </w:tcPr>
          <w:p w:rsidR="00970FBA" w:rsidRPr="00B31ACE" w:rsidRDefault="00970FBA" w:rsidP="00B31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</w:tcPr>
          <w:p w:rsidR="00970FBA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działki 87/2 obr.</w:t>
            </w:r>
            <w:r w:rsidR="00970F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70FBA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970FBA" w:rsidRPr="00970FBA">
              <w:rPr>
                <w:rFonts w:ascii="Times New Roman" w:hAnsi="Times New Roman" w:cs="Times New Roman"/>
                <w:b/>
                <w:sz w:val="20"/>
                <w:szCs w:val="20"/>
              </w:rPr>
              <w:t>16m²</w:t>
            </w:r>
            <w:r w:rsidR="00FE5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FE5C5A" w:rsidRPr="00FE5C5A"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r w:rsidR="00970F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0FBA" w:rsidRPr="00B31ACE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</w:t>
            </w:r>
            <w:r w:rsidR="00970F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6ADB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ADB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ADB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ADB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ADB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95" w:rsidRDefault="00C37C95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95" w:rsidRDefault="00C37C95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ADB" w:rsidRDefault="00996ADB" w:rsidP="00970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ADB" w:rsidRPr="00970FBA" w:rsidRDefault="00996ADB" w:rsidP="00996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Umowa dzierżawy zostan</w:t>
            </w:r>
            <w:r>
              <w:rPr>
                <w:rFonts w:ascii="Times New Roman" w:hAnsi="Times New Roman" w:cs="Times New Roman"/>
                <w:sz w:val="20"/>
              </w:rPr>
              <w:t>ie zawarta na czas nieoznaczony, na łączną pow.145,50m².</w:t>
            </w:r>
          </w:p>
        </w:tc>
        <w:tc>
          <w:tcPr>
            <w:tcW w:w="1243" w:type="pct"/>
            <w:vMerge/>
          </w:tcPr>
          <w:p w:rsidR="00970FBA" w:rsidRPr="00970FBA" w:rsidRDefault="00970FBA" w:rsidP="00970FB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0F399D" w:rsidRPr="002A5B38" w:rsidRDefault="00E25438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</w:rPr>
        <w:br/>
      </w:r>
      <w:r w:rsidR="003B18F8">
        <w:rPr>
          <w:rFonts w:ascii="Times New Roman" w:hAnsi="Times New Roman" w:cs="Times New Roman"/>
          <w:sz w:val="24"/>
        </w:rPr>
        <w:br/>
      </w:r>
    </w:p>
    <w:p w:rsidR="0002575C" w:rsidRPr="002A5B38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 xml:space="preserve">Czasookres wyłożenia 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wykazu do wglądu: od dnia </w:t>
      </w:r>
      <w:r w:rsidR="0073183F">
        <w:rPr>
          <w:rFonts w:ascii="Times New Roman" w:hAnsi="Times New Roman" w:cs="Times New Roman"/>
          <w:b/>
          <w:sz w:val="20"/>
        </w:rPr>
        <w:t>25.</w:t>
      </w:r>
      <w:r w:rsidR="000D4EFC">
        <w:rPr>
          <w:rFonts w:ascii="Times New Roman" w:hAnsi="Times New Roman" w:cs="Times New Roman"/>
          <w:b/>
          <w:sz w:val="20"/>
        </w:rPr>
        <w:t>11.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2020r. do dnia </w:t>
      </w:r>
      <w:r w:rsidR="0073183F">
        <w:rPr>
          <w:rFonts w:ascii="Times New Roman" w:hAnsi="Times New Roman" w:cs="Times New Roman"/>
          <w:b/>
          <w:sz w:val="20"/>
        </w:rPr>
        <w:t>16.</w:t>
      </w:r>
      <w:bookmarkStart w:id="0" w:name="_GoBack"/>
      <w:bookmarkEnd w:id="0"/>
      <w:r w:rsidR="000D4EFC">
        <w:rPr>
          <w:rFonts w:ascii="Times New Roman" w:hAnsi="Times New Roman" w:cs="Times New Roman"/>
          <w:b/>
          <w:sz w:val="20"/>
        </w:rPr>
        <w:t>12.</w:t>
      </w:r>
      <w:r w:rsidR="000F399D" w:rsidRPr="002A5B38">
        <w:rPr>
          <w:rFonts w:ascii="Times New Roman" w:hAnsi="Times New Roman" w:cs="Times New Roman"/>
          <w:b/>
          <w:sz w:val="20"/>
        </w:rPr>
        <w:t>2020r.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5130F"/>
    <w:rsid w:val="002A5B38"/>
    <w:rsid w:val="002D7EC3"/>
    <w:rsid w:val="00366E0F"/>
    <w:rsid w:val="003B18F8"/>
    <w:rsid w:val="004E54E4"/>
    <w:rsid w:val="005240B5"/>
    <w:rsid w:val="005F341B"/>
    <w:rsid w:val="006350C3"/>
    <w:rsid w:val="006C02BC"/>
    <w:rsid w:val="007243DF"/>
    <w:rsid w:val="00725941"/>
    <w:rsid w:val="0073183F"/>
    <w:rsid w:val="0073726E"/>
    <w:rsid w:val="007A2EBE"/>
    <w:rsid w:val="007B3DC2"/>
    <w:rsid w:val="00880A18"/>
    <w:rsid w:val="008D1EFC"/>
    <w:rsid w:val="009459EF"/>
    <w:rsid w:val="00970FBA"/>
    <w:rsid w:val="00996ADB"/>
    <w:rsid w:val="009F17CC"/>
    <w:rsid w:val="00A02D2B"/>
    <w:rsid w:val="00A63C81"/>
    <w:rsid w:val="00AE1801"/>
    <w:rsid w:val="00B31ACE"/>
    <w:rsid w:val="00B810AB"/>
    <w:rsid w:val="00C37C95"/>
    <w:rsid w:val="00C54730"/>
    <w:rsid w:val="00D9090C"/>
    <w:rsid w:val="00DF0516"/>
    <w:rsid w:val="00E25438"/>
    <w:rsid w:val="00E85F4D"/>
    <w:rsid w:val="00EE08DA"/>
    <w:rsid w:val="00EE4306"/>
    <w:rsid w:val="00EF0D99"/>
    <w:rsid w:val="00EF54DE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D41F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6EC3-07CF-41FE-8925-467BD181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31</cp:revision>
  <cp:lastPrinted>2020-11-25T10:40:00Z</cp:lastPrinted>
  <dcterms:created xsi:type="dcterms:W3CDTF">2020-09-18T12:22:00Z</dcterms:created>
  <dcterms:modified xsi:type="dcterms:W3CDTF">2020-11-25T11:05:00Z</dcterms:modified>
</cp:coreProperties>
</file>