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E1" w:rsidRPr="005B0650" w:rsidRDefault="00046C85" w:rsidP="009301E1">
      <w:pPr>
        <w:spacing w:line="36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WYKAZ NIERUCHOMOŚCI NR 93</w:t>
      </w:r>
    </w:p>
    <w:p w:rsidR="009301E1" w:rsidRPr="003D119D" w:rsidRDefault="009301E1" w:rsidP="003D119D">
      <w:pPr>
        <w:spacing w:line="36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PRZEZNACZONEJ DO WYDZIERŻAWIENA</w:t>
      </w:r>
    </w:p>
    <w:p w:rsidR="009301E1" w:rsidRDefault="009301E1" w:rsidP="009301E1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Na podstawie art. 35 ustawy z dnia 21 sierpnia 1997r. o gospodarce nieruchomościami (Dz. U. </w:t>
      </w:r>
      <w:proofErr w:type="gramStart"/>
      <w:r>
        <w:rPr>
          <w:sz w:val="24"/>
          <w:szCs w:val="24"/>
        </w:rPr>
        <w:t>z</w:t>
      </w:r>
      <w:proofErr w:type="gramEnd"/>
      <w:r>
        <w:rPr>
          <w:sz w:val="24"/>
          <w:szCs w:val="24"/>
        </w:rPr>
        <w:t xml:space="preserve"> 2020r, poz. 65 ze zm.) przeznacza się do wydzierżawienia następujące nieruchomości z zasobu Gminy Miasto Świnoujście:</w:t>
      </w:r>
    </w:p>
    <w:p w:rsidR="009301E1" w:rsidRDefault="009301E1" w:rsidP="009301E1">
      <w:pPr>
        <w:jc w:val="both"/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550"/>
        <w:gridCol w:w="1351"/>
        <w:gridCol w:w="3043"/>
        <w:gridCol w:w="3544"/>
        <w:gridCol w:w="4327"/>
      </w:tblGrid>
      <w:tr w:rsidR="009301E1" w:rsidTr="003D119D">
        <w:tc>
          <w:tcPr>
            <w:tcW w:w="430" w:type="dxa"/>
          </w:tcPr>
          <w:p w:rsidR="009301E1" w:rsidRDefault="009301E1" w:rsidP="00941357">
            <w:pPr>
              <w:jc w:val="both"/>
            </w:pPr>
            <w:proofErr w:type="spellStart"/>
            <w:r>
              <w:t>Lp</w:t>
            </w:r>
            <w:proofErr w:type="spellEnd"/>
          </w:p>
        </w:tc>
        <w:tc>
          <w:tcPr>
            <w:tcW w:w="1550" w:type="dxa"/>
          </w:tcPr>
          <w:p w:rsidR="009301E1" w:rsidRDefault="009301E1" w:rsidP="00941357">
            <w:r>
              <w:t>Nr ewidencyjny nieruchomości i powierzchnia</w:t>
            </w:r>
          </w:p>
        </w:tc>
        <w:tc>
          <w:tcPr>
            <w:tcW w:w="1351" w:type="dxa"/>
          </w:tcPr>
          <w:p w:rsidR="009301E1" w:rsidRDefault="009301E1" w:rsidP="00941357">
            <w:pPr>
              <w:jc w:val="both"/>
            </w:pPr>
            <w:r>
              <w:t>Położenie</w:t>
            </w:r>
          </w:p>
          <w:p w:rsidR="009301E1" w:rsidRDefault="009301E1" w:rsidP="00941357">
            <w:pPr>
              <w:jc w:val="both"/>
            </w:pPr>
            <w:proofErr w:type="gramStart"/>
            <w:r>
              <w:t>nieruchomości</w:t>
            </w:r>
            <w:proofErr w:type="gramEnd"/>
            <w:r>
              <w:t xml:space="preserve"> </w:t>
            </w:r>
          </w:p>
        </w:tc>
        <w:tc>
          <w:tcPr>
            <w:tcW w:w="3043" w:type="dxa"/>
          </w:tcPr>
          <w:p w:rsidR="009301E1" w:rsidRDefault="009301E1" w:rsidP="00941357">
            <w:pPr>
              <w:jc w:val="both"/>
            </w:pPr>
            <w:r>
              <w:t>Przeznaczenie nieruchomości w miejscowym planie zagospodarowania i sposób jej zagospodarowania</w:t>
            </w:r>
          </w:p>
        </w:tc>
        <w:tc>
          <w:tcPr>
            <w:tcW w:w="3544" w:type="dxa"/>
          </w:tcPr>
          <w:p w:rsidR="009301E1" w:rsidRDefault="009301E1" w:rsidP="00941357">
            <w:pPr>
              <w:jc w:val="center"/>
            </w:pPr>
            <w:r>
              <w:t>Rodzaj zbycia</w:t>
            </w:r>
          </w:p>
        </w:tc>
        <w:tc>
          <w:tcPr>
            <w:tcW w:w="4327" w:type="dxa"/>
          </w:tcPr>
          <w:p w:rsidR="009301E1" w:rsidRDefault="009301E1" w:rsidP="00941357">
            <w:pPr>
              <w:jc w:val="center"/>
            </w:pPr>
            <w:r>
              <w:t>Wysokość czynszu dzierżawnego</w:t>
            </w:r>
          </w:p>
        </w:tc>
      </w:tr>
      <w:tr w:rsidR="009301E1" w:rsidTr="003D119D">
        <w:tc>
          <w:tcPr>
            <w:tcW w:w="430" w:type="dxa"/>
          </w:tcPr>
          <w:p w:rsidR="009301E1" w:rsidRDefault="009301E1" w:rsidP="00941357">
            <w:pPr>
              <w:jc w:val="both"/>
            </w:pPr>
            <w:r>
              <w:t>1</w:t>
            </w:r>
          </w:p>
        </w:tc>
        <w:tc>
          <w:tcPr>
            <w:tcW w:w="1550" w:type="dxa"/>
          </w:tcPr>
          <w:p w:rsidR="009301E1" w:rsidRDefault="009301E1" w:rsidP="00941357">
            <w:pPr>
              <w:jc w:val="both"/>
            </w:pPr>
            <w:r>
              <w:t>Działka nr 146/2 o pow. 79118m²,</w:t>
            </w:r>
          </w:p>
          <w:p w:rsidR="009301E1" w:rsidRDefault="009301E1" w:rsidP="00941357">
            <w:proofErr w:type="gramStart"/>
            <w:r>
              <w:t>obręb</w:t>
            </w:r>
            <w:proofErr w:type="gramEnd"/>
            <w:r>
              <w:t xml:space="preserve"> 0002, </w:t>
            </w:r>
          </w:p>
          <w:p w:rsidR="009301E1" w:rsidRDefault="009301E1" w:rsidP="00941357">
            <w:r>
              <w:t>KW nr SZ1W/00053870/0</w:t>
            </w:r>
          </w:p>
        </w:tc>
        <w:tc>
          <w:tcPr>
            <w:tcW w:w="1351" w:type="dxa"/>
          </w:tcPr>
          <w:p w:rsidR="009301E1" w:rsidRDefault="009301E1" w:rsidP="00941357">
            <w:proofErr w:type="gramStart"/>
            <w:r>
              <w:t>ul</w:t>
            </w:r>
            <w:proofErr w:type="gramEnd"/>
            <w:r>
              <w:t xml:space="preserve">. Jachtowa </w:t>
            </w:r>
          </w:p>
        </w:tc>
        <w:tc>
          <w:tcPr>
            <w:tcW w:w="3043" w:type="dxa"/>
          </w:tcPr>
          <w:p w:rsidR="009301E1" w:rsidRDefault="009301E1" w:rsidP="00941357">
            <w:pPr>
              <w:jc w:val="both"/>
            </w:pPr>
            <w:r>
              <w:t>Teren będący przedmiotem dzierżawy oznaczony symbolem 10 UG, UK – usługi gastronomii, kultury i rozrywki – galeria, atelier, kawiarnia, winiarnia.</w:t>
            </w:r>
          </w:p>
          <w:p w:rsidR="009301E1" w:rsidRDefault="009301E1" w:rsidP="00941357">
            <w:pPr>
              <w:jc w:val="both"/>
            </w:pPr>
            <w:r>
              <w:t xml:space="preserve">Część wydzierżawiana leży poza obszarem szczególnego zagrożenia powodzią. </w:t>
            </w:r>
          </w:p>
        </w:tc>
        <w:tc>
          <w:tcPr>
            <w:tcW w:w="3544" w:type="dxa"/>
          </w:tcPr>
          <w:p w:rsidR="009301E1" w:rsidRDefault="009301E1" w:rsidP="00941357">
            <w:pPr>
              <w:jc w:val="both"/>
            </w:pPr>
            <w:r>
              <w:t>Dzierżawa części działki nr 146/2 w obrębie 0002 o łącznej powierzchni 212m</w:t>
            </w:r>
            <w:r>
              <w:rPr>
                <w:vertAlign w:val="superscript"/>
              </w:rPr>
              <w:t>2</w:t>
            </w:r>
            <w:r>
              <w:t xml:space="preserve"> z przeznaczeniem na polepszenie zagospodarowania nieruchomości</w:t>
            </w:r>
            <w:r w:rsidR="003D119D">
              <w:t xml:space="preserve"> przyległej w ramach umowy dzierżawy nr 7626</w:t>
            </w:r>
            <w:r>
              <w:t xml:space="preserve"> o pow. 171m</w:t>
            </w:r>
            <w:r>
              <w:rPr>
                <w:vertAlign w:val="superscript"/>
              </w:rPr>
              <w:t>2</w:t>
            </w:r>
            <w:r>
              <w:t xml:space="preserve"> oraz na ogródek konsumpcyjny o pow. 41m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:rsidR="009301E1" w:rsidRDefault="009301E1" w:rsidP="00941357">
            <w:pPr>
              <w:jc w:val="both"/>
            </w:pPr>
          </w:p>
          <w:p w:rsidR="009301E1" w:rsidRDefault="009301E1" w:rsidP="00941357">
            <w:pPr>
              <w:jc w:val="both"/>
            </w:pPr>
            <w:r>
              <w:t>Umowa dzierżawy na czas nieokreślony.</w:t>
            </w:r>
          </w:p>
        </w:tc>
        <w:tc>
          <w:tcPr>
            <w:tcW w:w="4327" w:type="dxa"/>
          </w:tcPr>
          <w:p w:rsidR="003D119D" w:rsidRDefault="009301E1" w:rsidP="00941357">
            <w:pPr>
              <w:jc w:val="both"/>
              <w:rPr>
                <w:vertAlign w:val="superscript"/>
              </w:rPr>
            </w:pPr>
            <w:proofErr w:type="gramStart"/>
            <w:r>
              <w:t>a</w:t>
            </w:r>
            <w:proofErr w:type="gramEnd"/>
            <w:r>
              <w:t xml:space="preserve">) </w:t>
            </w:r>
            <w:r w:rsidR="003D119D">
              <w:t>grunt z przeznaczeniem na polepszenie zagospodarowania do 100m</w:t>
            </w:r>
            <w:r w:rsidR="003D119D">
              <w:rPr>
                <w:vertAlign w:val="superscript"/>
              </w:rPr>
              <w:t>2 :</w:t>
            </w:r>
          </w:p>
          <w:p w:rsidR="009301E1" w:rsidRDefault="009301E1" w:rsidP="00941357">
            <w:pPr>
              <w:jc w:val="both"/>
            </w:pPr>
            <w:r>
              <w:t>2</w:t>
            </w:r>
            <w:r w:rsidR="003D119D">
              <w:t xml:space="preserve"> zł netto rocznie </w:t>
            </w:r>
            <w:r>
              <w:t xml:space="preserve">za </w:t>
            </w:r>
          </w:p>
          <w:p w:rsidR="003D119D" w:rsidRDefault="009301E1" w:rsidP="00941357">
            <w:pPr>
              <w:jc w:val="both"/>
            </w:pPr>
            <w:r>
              <w:t>1 m</w:t>
            </w:r>
            <w:r>
              <w:rPr>
                <w:vertAlign w:val="superscript"/>
              </w:rPr>
              <w:t xml:space="preserve">2 </w:t>
            </w:r>
            <w:r>
              <w:t>gruntu</w:t>
            </w:r>
            <w:r w:rsidR="003D119D">
              <w:t xml:space="preserve"> + 23% VAT,</w:t>
            </w:r>
          </w:p>
          <w:p w:rsidR="003D119D" w:rsidRDefault="009301E1" w:rsidP="003D119D">
            <w:pPr>
              <w:jc w:val="both"/>
              <w:rPr>
                <w:vertAlign w:val="superscript"/>
              </w:rPr>
            </w:pPr>
            <w:proofErr w:type="gramStart"/>
            <w:r>
              <w:t>b</w:t>
            </w:r>
            <w:proofErr w:type="gramEnd"/>
            <w:r>
              <w:t>)</w:t>
            </w:r>
            <w:r w:rsidR="003D119D">
              <w:t xml:space="preserve"> grunt z przeznaczeniem na polepszenie zagospodarowania powyżej 100m</w:t>
            </w:r>
            <w:r w:rsidR="003D119D">
              <w:rPr>
                <w:vertAlign w:val="superscript"/>
              </w:rPr>
              <w:t>2 :</w:t>
            </w:r>
          </w:p>
          <w:p w:rsidR="003D119D" w:rsidRDefault="003D119D" w:rsidP="003D119D">
            <w:pPr>
              <w:jc w:val="both"/>
            </w:pPr>
            <w:r>
              <w:t xml:space="preserve">1 zł netto rocznie za </w:t>
            </w:r>
          </w:p>
          <w:p w:rsidR="003D119D" w:rsidRDefault="003D119D" w:rsidP="003D119D">
            <w:pPr>
              <w:jc w:val="both"/>
            </w:pPr>
            <w:r>
              <w:t>1 m</w:t>
            </w:r>
            <w:r>
              <w:rPr>
                <w:vertAlign w:val="superscript"/>
              </w:rPr>
              <w:t xml:space="preserve">2 </w:t>
            </w:r>
            <w:r>
              <w:t>gruntu + 23% VAT,</w:t>
            </w:r>
          </w:p>
          <w:p w:rsidR="003D119D" w:rsidRDefault="003D119D" w:rsidP="00941357">
            <w:pPr>
              <w:jc w:val="both"/>
            </w:pPr>
            <w:proofErr w:type="gramStart"/>
            <w:r>
              <w:t>c</w:t>
            </w:r>
            <w:proofErr w:type="gramEnd"/>
            <w:r>
              <w:t xml:space="preserve">) grunt z przeznaczeniem na ogródek konsumpcyjny: </w:t>
            </w:r>
          </w:p>
          <w:p w:rsidR="009301E1" w:rsidRDefault="003D119D" w:rsidP="00941357">
            <w:pPr>
              <w:jc w:val="both"/>
            </w:pPr>
            <w:r>
              <w:t>3</w:t>
            </w:r>
            <w:r w:rsidR="009301E1">
              <w:t xml:space="preserve">5 zł netto miesięcznie za </w:t>
            </w:r>
          </w:p>
          <w:p w:rsidR="009301E1" w:rsidRDefault="009301E1" w:rsidP="00941357">
            <w:pPr>
              <w:jc w:val="both"/>
            </w:pPr>
            <w:r>
              <w:t>1 m</w:t>
            </w:r>
            <w:r>
              <w:rPr>
                <w:vertAlign w:val="superscript"/>
              </w:rPr>
              <w:t>2</w:t>
            </w:r>
            <w:r>
              <w:t xml:space="preserve"> gruntu + 23% VAT w miesiącach:</w:t>
            </w:r>
          </w:p>
          <w:p w:rsidR="009301E1" w:rsidRDefault="003D119D" w:rsidP="00941357">
            <w:pPr>
              <w:jc w:val="both"/>
            </w:pPr>
            <w:r>
              <w:t>VI, VII, VIII;</w:t>
            </w:r>
          </w:p>
          <w:p w:rsidR="003D119D" w:rsidRDefault="003D119D" w:rsidP="003D119D">
            <w:pPr>
              <w:jc w:val="both"/>
            </w:pPr>
            <w:r>
              <w:t xml:space="preserve">15 zł netto miesięcznie za </w:t>
            </w:r>
          </w:p>
          <w:p w:rsidR="003D119D" w:rsidRDefault="003D119D" w:rsidP="00941357">
            <w:pPr>
              <w:jc w:val="both"/>
            </w:pPr>
            <w:r>
              <w:t>1 m</w:t>
            </w:r>
            <w:r>
              <w:rPr>
                <w:vertAlign w:val="superscript"/>
              </w:rPr>
              <w:t>2</w:t>
            </w:r>
            <w:r>
              <w:t xml:space="preserve"> gruntu + 23% VAT w pozostałych miesiącach.</w:t>
            </w:r>
          </w:p>
          <w:p w:rsidR="009301E1" w:rsidRDefault="009301E1" w:rsidP="00941357">
            <w:pPr>
              <w:jc w:val="both"/>
            </w:pPr>
            <w:r>
              <w:t xml:space="preserve">Czynsz dzierżawny płatny miesięcznie do 10 każdego miesiąca. </w:t>
            </w:r>
          </w:p>
          <w:p w:rsidR="009301E1" w:rsidRDefault="009301E1" w:rsidP="00941357">
            <w:pPr>
              <w:jc w:val="both"/>
            </w:pPr>
          </w:p>
          <w:p w:rsidR="009301E1" w:rsidRDefault="009301E1" w:rsidP="00941357">
            <w:pPr>
              <w:jc w:val="both"/>
            </w:pPr>
            <w:r>
              <w:t>Waloryzacja czynszu na podstawie obowiązującego Zarządzenia Prezydenta Miasta Świnoujście.</w:t>
            </w:r>
          </w:p>
        </w:tc>
      </w:tr>
    </w:tbl>
    <w:p w:rsidR="009301E1" w:rsidRDefault="009301E1" w:rsidP="009301E1">
      <w:pPr>
        <w:ind w:left="7080" w:firstLine="708"/>
        <w:jc w:val="both"/>
      </w:pPr>
    </w:p>
    <w:p w:rsidR="009301E1" w:rsidRDefault="009301E1" w:rsidP="009301E1">
      <w:pPr>
        <w:ind w:left="7080" w:firstLine="708"/>
        <w:jc w:val="both"/>
      </w:pPr>
    </w:p>
    <w:p w:rsidR="009301E1" w:rsidRDefault="009301E1" w:rsidP="009301E1">
      <w:pPr>
        <w:ind w:left="7080" w:firstLine="708"/>
        <w:jc w:val="both"/>
      </w:pPr>
    </w:p>
    <w:p w:rsidR="009301E1" w:rsidRDefault="009301E1" w:rsidP="009301E1">
      <w:pPr>
        <w:jc w:val="both"/>
      </w:pPr>
    </w:p>
    <w:p w:rsidR="009301E1" w:rsidRDefault="009301E1" w:rsidP="009301E1">
      <w:pPr>
        <w:jc w:val="both"/>
      </w:pPr>
    </w:p>
    <w:p w:rsidR="003D119D" w:rsidRDefault="003D119D" w:rsidP="009301E1">
      <w:pPr>
        <w:jc w:val="both"/>
      </w:pPr>
    </w:p>
    <w:p w:rsidR="003D119D" w:rsidRDefault="003D119D" w:rsidP="009301E1">
      <w:pPr>
        <w:jc w:val="both"/>
      </w:pPr>
    </w:p>
    <w:p w:rsidR="009301E1" w:rsidRDefault="009301E1" w:rsidP="009301E1">
      <w:pPr>
        <w:jc w:val="both"/>
      </w:pPr>
      <w:r>
        <w:t>Czasookres wyłożenia</w:t>
      </w:r>
      <w:r w:rsidR="00046C85">
        <w:t xml:space="preserve"> wykazu do wglądu: od dnia 02 września 2020 r. do dnia 23</w:t>
      </w:r>
      <w:bookmarkStart w:id="0" w:name="_GoBack"/>
      <w:bookmarkEnd w:id="0"/>
      <w:r>
        <w:t xml:space="preserve"> września 2020 r.</w:t>
      </w:r>
    </w:p>
    <w:p w:rsidR="009301E1" w:rsidRDefault="009301E1" w:rsidP="009301E1"/>
    <w:p w:rsidR="00FF73E2" w:rsidRDefault="00FF73E2"/>
    <w:sectPr w:rsidR="00FF73E2" w:rsidSect="009301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E1"/>
    <w:rsid w:val="00046C85"/>
    <w:rsid w:val="003D119D"/>
    <w:rsid w:val="009301E1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C4ED"/>
  <w15:chartTrackingRefBased/>
  <w15:docId w15:val="{58EF2712-B7BD-407A-A9CB-2270963B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1E1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301E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301E1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1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19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kmikulska-gawle</dc:creator>
  <cp:keywords/>
  <dc:description/>
  <cp:lastModifiedBy>Mikulska-Gawle Karina</cp:lastModifiedBy>
  <cp:revision>2</cp:revision>
  <cp:lastPrinted>2020-09-01T11:53:00Z</cp:lastPrinted>
  <dcterms:created xsi:type="dcterms:W3CDTF">2020-09-03T13:36:00Z</dcterms:created>
  <dcterms:modified xsi:type="dcterms:W3CDTF">2020-09-03T13:36:00Z</dcterms:modified>
</cp:coreProperties>
</file>